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3"/>
      </w:pPr>
      <w:r/>
      <w:r/>
    </w:p>
    <w:tbl>
      <w:tblPr>
        <w:tblW w:w="9665" w:type="dxa"/>
        <w:jc w:val="center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3428"/>
        <w:gridCol w:w="6236"/>
      </w:tblGrid>
      <w:tr>
        <w:tblPrEx/>
        <w:trPr>
          <w:trHeight w:val="2774"/>
        </w:trPr>
        <w:tc>
          <w:tcPr>
            <w:tcW w:w="3428" w:type="dxa"/>
            <w:textDirection w:val="lrTb"/>
            <w:noWrap w:val="false"/>
          </w:tcPr>
          <w:p>
            <w:pPr>
              <w:pStyle w:val="885"/>
              <w:jc w:val="both"/>
              <w:spacing w:before="0" w:beforeAutospacing="0" w:after="0" w:afterAutospacing="0" w:line="240" w:lineRule="atLeast"/>
              <w:widowControl w:val="off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031365" cy="2278380"/>
                      <wp:effectExtent l="0" t="0" r="0" b="0"/>
                      <wp:docPr id="1" name="Picture 26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26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031365" cy="227838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159.95pt;height:179.40pt;mso-wrap-distance-left:0.00pt;mso-wrap-distance-top:0.00pt;mso-wrap-distance-right:0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                            </w:t>
            </w:r>
            <w:r/>
          </w:p>
        </w:tc>
        <w:tc>
          <w:tcPr>
            <w:tcW w:w="6236" w:type="dxa"/>
            <w:textDirection w:val="lrTb"/>
            <w:noWrap w:val="false"/>
          </w:tcPr>
          <w:p>
            <w:pPr>
              <w:pStyle w:val="813"/>
              <w:ind w:left="1" w:hanging="3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          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13"/>
              <w:ind w:left="1" w:hanging="3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              </w:t>
            </w:r>
            <w:r>
              <w:rPr>
                <w:color w:val="000000"/>
              </w:rPr>
              <w:t xml:space="preserve">пресс-служба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13"/>
              <w:ind w:left="1" w:hanging="3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              </w:t>
            </w:r>
            <w:r>
              <w:rPr>
                <w:color w:val="000000"/>
              </w:rPr>
              <w:t xml:space="preserve">Управления Росреестра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13"/>
              <w:ind w:left="1" w:hanging="3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              </w:t>
            </w:r>
            <w:r>
              <w:rPr>
                <w:color w:val="000000"/>
              </w:rPr>
              <w:t xml:space="preserve">по Нижегородской области </w:t>
              <w:br/>
              <w:t xml:space="preserve">                603950 Нижний Новгород,</w:t>
              <w:br/>
              <w:t xml:space="preserve">                 ул. Малая Ямская, д. 78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13"/>
              <w:ind w:left="1" w:hanging="3"/>
              <w:jc w:val="center"/>
              <w:widowControl w:val="off"/>
              <w:rPr>
                <w:color w:val="000000"/>
              </w:rPr>
            </w:pPr>
            <w:r>
              <w:t xml:space="preserve">                </w:t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2400" cy="152400"/>
                      <wp:effectExtent l="0" t="0" r="0" b="0"/>
                      <wp:docPr id="2" name="Изображение1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Изображение1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00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t xml:space="preserve">  </w:t>
            </w:r>
            <w:r>
              <w:rPr>
                <w:color w:val="000000"/>
              </w:rPr>
              <w:t xml:space="preserve">8 (831) 430-16-08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13"/>
              <w:widowControl w:val="off"/>
              <w:tabs>
                <w:tab w:val="left" w:pos="330" w:leader="none"/>
                <w:tab w:val="clear" w:pos="708" w:leader="none"/>
              </w:tabs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13"/>
              <w:widowControl w:val="off"/>
              <w:tabs>
                <w:tab w:val="left" w:pos="330" w:leader="none"/>
                <w:tab w:val="clear" w:pos="708" w:leader="none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               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9930" cy="709930"/>
                      <wp:effectExtent l="0" t="0" r="0" b="0"/>
                      <wp:docPr id="3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53929436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709929" cy="70992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55.90pt;height:55.90pt;mso-wrap-distance-left:0.00pt;mso-wrap-distance-top:0.00pt;mso-wrap-distance-right:0.00pt;mso-wrap-distance-bottom:0.00pt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color w:val="000000"/>
              </w:rPr>
              <w:t xml:space="preserve">  </w:t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20725" cy="720725"/>
                      <wp:effectExtent l="0" t="0" r="0" b="0"/>
                      <wp:docPr id="4" name="Рисунок 5" descr="ок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Рисунок 5" descr="ок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20724" cy="720724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56.75pt;height:56.75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color w:val="000000"/>
              </w:rPr>
              <w:t xml:space="preserve"> </w:t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9930" cy="709930"/>
                      <wp:effectExtent l="0" t="0" r="0" b="0"/>
                      <wp:docPr id="5" name="Рисунок 2" descr="дзен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Рисунок 2" descr="дзен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9930" cy="70993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55.90pt;height:55.90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18185" cy="718185"/>
                      <wp:effectExtent l="0" t="0" r="0" b="0"/>
                      <wp:docPr id="6" name="Рисунок 4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" name="Рисунок 4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18185" cy="71818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56.55pt;height:56.55pt;mso-wrap-distance-left:0.00pt;mso-wrap-distance-top:0.00pt;mso-wrap-distance-right:0.00pt;mso-wrap-distance-bottom:0.00pt;" stroked="false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color w:val="000000"/>
              </w:rPr>
              <w:t xml:space="preserve">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13"/>
              <w:ind w:left="1" w:hanging="3"/>
              <w:jc w:val="center"/>
              <w:widowControl w:val="off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</w: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</w: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pStyle w:val="885"/>
              <w:ind w:left="-300" w:right="355" w:firstLine="0"/>
              <w:spacing w:before="0" w:beforeAutospacing="0" w:after="0" w:afterAutospacing="0"/>
              <w:shd w:val="clear" w:color="auto" w:fill="ffffff"/>
              <w:widowControl w:val="off"/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 xml:space="preserve">                     </w:t>
            </w:r>
            <w:r>
              <w:t xml:space="preserve">  </w:t>
            </w: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/>
          </w:p>
        </w:tc>
      </w:tr>
    </w:tbl>
    <w:p>
      <w:pPr>
        <w:ind w:left="0" w:right="0" w:firstLine="567"/>
        <w:jc w:val="both"/>
        <w:spacing w:before="0" w:after="240" w:line="276" w:lineRule="auto"/>
        <w:shd w:val="clear" w:color="ffffff" w:fill="ffffff"/>
        <w:rPr>
          <w:rFonts w:ascii="Times New Roman" w:hAnsi="Times New Roman" w:cs="Times New Roman"/>
          <w:b w:val="0"/>
          <w:bCs w:val="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ind w:left="0" w:right="0" w:firstLine="567"/>
        <w:jc w:val="center"/>
        <w:spacing w:before="0" w:after="240" w:line="360" w:lineRule="auto"/>
        <w:shd w:val="clear" w:color="ffffff" w:fill="ffffff"/>
        <w:rPr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Срок действия «гаражной амнистии» увеличен на пять лет</w:t>
      </w:r>
      <w:r>
        <w:rPr>
          <w:b/>
          <w:bCs/>
        </w:rPr>
      </w:r>
      <w:r>
        <w:rPr>
          <w:b/>
          <w:bCs/>
        </w:rPr>
      </w:r>
    </w:p>
    <w:p>
      <w:pPr>
        <w:ind w:left="0" w:right="0" w:firstLine="567"/>
        <w:jc w:val="both"/>
        <w:spacing w:before="0" w:after="240" w:line="360" w:lineRule="auto"/>
        <w:shd w:val="clear" w:color="ffffff" w:fill="ffffff"/>
        <w:rPr>
          <w:rFonts w:ascii="Times New Roman" w:hAnsi="Times New Roman" w:cs="Times New Roman"/>
          <w:b w:val="0"/>
          <w:bCs w:val="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Президент России Владимир Путин подписал закон, который продлевает «гаражную амнистию» на пять лет - до сентября 2031 года, соответствующий документ размещен на сайте официального опубликования правовых актов.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ind w:left="0" w:right="0" w:firstLine="567"/>
        <w:jc w:val="both"/>
        <w:spacing w:before="0" w:after="240" w:line="360" w:lineRule="auto"/>
        <w:shd w:val="clear" w:color="ffffff" w:fill="ffffff"/>
        <w:rPr>
          <w:bCs/>
          <w:i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Упрощенный механизм позволяет гражданам легализовать свое имущество и законно им распоряжаться: продавать, дарить, передавать по наследству, а также защитит от земельных споров. Руководитель Управления Росреестра по Нижегородской области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Оксана Штейн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отметила: 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««Гаражная амнистия» показала свою эффективность: за время ее действия в Нижегородской области уже зарегистрировано 3660 гаражей и 8619 земельных участков под ними, общая площадь которых  превысила 324 464 квадратных метров».</w:t>
      </w:r>
      <w:r>
        <w:rPr>
          <w:bCs/>
          <w:i/>
        </w:rPr>
      </w:r>
      <w:r>
        <w:rPr>
          <w:bCs/>
          <w:i/>
        </w:rPr>
      </w:r>
    </w:p>
    <w:p>
      <w:pPr>
        <w:ind w:left="0" w:right="0" w:firstLine="567"/>
        <w:jc w:val="both"/>
        <w:spacing w:before="0" w:after="24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Напомним, упрощенный порядок действует при соблюдении трех условий: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ind w:left="567" w:right="0" w:firstLine="0"/>
        <w:jc w:val="both"/>
        <w:spacing w:before="0" w:after="24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</w:t>
        <w:tab/>
        <w:t xml:space="preserve">гараж должен быть капитальным строением,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ind w:left="0" w:right="0" w:firstLine="567"/>
        <w:jc w:val="both"/>
        <w:spacing w:before="0" w:after="24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</w:t>
        <w:tab/>
        <w:t xml:space="preserve">возведенным до 29 декабря 2004 года,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ind w:left="0" w:right="0" w:firstLine="567"/>
        <w:jc w:val="both"/>
        <w:spacing w:before="0" w:after="240" w:line="360" w:lineRule="auto"/>
        <w:shd w:val="clear" w:color="ffffff" w:fill="ffffff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3.</w:t>
        <w:tab/>
        <w:t xml:space="preserve">не признанным судом самовольной постройкой.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0" w:after="240" w:line="360" w:lineRule="auto"/>
        <w:shd w:val="clear" w:color="ffffff" w:fill="ffffff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«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Решение о продлении «гаражной амнистии» - это, безусловно, своевременная и нужная мера. Это дает гражданам дополнительное время, чтобы спокойно, без спешки и бюрократических барьеров оформить пр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ава на имущество, которое зачастую досталось им еще в советские времена»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- подчеркнул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Юрий Шалабаев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глава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Нижнего Новгорода.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0" w:after="240" w:line="360" w:lineRule="auto"/>
        <w:shd w:val="clear" w:color="ffffff" w:fill="ffffff"/>
        <w:rPr>
          <w:rFonts w:ascii="Times New Roman" w:hAnsi="Times New Roman" w:cs="Times New Roman"/>
          <w:b w:val="0"/>
          <w:bCs w:val="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ind w:left="0" w:right="0" w:firstLine="567"/>
        <w:jc w:val="both"/>
        <w:spacing w:before="0" w:after="24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Подробная пошаговая инструкция по оформлению прав на гаражи и земельные участки под ними в рамках «гаражной амнистии» размещена на официальном сайте Росреестра. Ознакомиться с методическими рекомендациями можно по ссылке: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ind w:left="0" w:right="0" w:firstLine="0"/>
        <w:jc w:val="both"/>
        <w:spacing w:before="0" w:after="240" w:line="360" w:lineRule="auto"/>
        <w:shd w:val="clear" w:color="ffffff" w:fill="ffffff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hyperlink r:id="rId15" w:tooltip="https://rosreestr.gov.ru/upload/Doc/press/Гаражная_амнистия_новая_методичка.pdf" w:history="1">
        <w:r>
          <w:rPr>
            <w:rStyle w:val="847"/>
            <w:rFonts w:ascii="Times New Roman" w:hAnsi="Times New Roman" w:cs="Times New Roman"/>
            <w:b w:val="0"/>
            <w:bCs w:val="0"/>
            <w:sz w:val="28"/>
            <w:szCs w:val="28"/>
          </w:rPr>
          <w:t xml:space="preserve">https://rosreestr.gov.ru/upload/Doc/press/Гаражная_амнистия_новая_методичка.pdf</w:t>
        </w:r>
        <w:r>
          <w:rPr>
            <w:rStyle w:val="847"/>
            <w:rFonts w:ascii="Times New Roman" w:hAnsi="Times New Roman" w:cs="Times New Roman"/>
            <w:b w:val="0"/>
            <w:bCs w:val="0"/>
            <w:sz w:val="28"/>
            <w:szCs w:val="28"/>
          </w:rPr>
        </w:r>
      </w:hyperlink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0" w:after="240" w:line="360" w:lineRule="auto"/>
        <w:shd w:val="clear" w:color="ffffff" w:fill="ffffff"/>
        <w:rPr>
          <w:rFonts w:ascii="Times New Roman" w:hAnsi="Times New Roman" w:cs="Times New Roman"/>
          <w:b w:val="0"/>
          <w:bCs w:val="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Не откладывайте оформление своей недвижимости на потом. Воспользуйтесь возможностью законно закрепить свои права в упрощенном порядке уже сегодня.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sectPr>
      <w:footnotePr/>
      <w:endnotePr/>
      <w:type w:val="nextPage"/>
      <w:pgSz w:w="11906" w:h="16838" w:orient="portrait"/>
      <w:pgMar w:top="284" w:right="991" w:bottom="284" w:left="993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Wingdings">
    <w:panose1 w:val="05010000000000000000"/>
  </w:font>
  <w:font w:name="Symbol">
    <w:panose1 w:val="05010000000000000000"/>
  </w:font>
  <w:font w:name="Courier New">
    <w:panose1 w:val="02070409020205020404"/>
  </w:font>
  <w:font w:name="OpenSymbol">
    <w:panose1 w:val="05010000000000000000"/>
  </w:font>
  <w:font w:name="Segoe UI">
    <w:panose1 w:val="020B0502040504020204"/>
  </w:font>
  <w:font w:name="PT Astra Serif">
    <w:panose1 w:val="020A0603040505020204"/>
  </w:font>
  <w:font w:name="Arial">
    <w:panose1 w:val="020B0604020202020204"/>
  </w:font>
  <w:font w:name="Tahoma">
    <w:panose1 w:val="020B0604030504040204"/>
  </w:font>
  <w:font w:name="Cambria">
    <w:panose1 w:val="02040503050406030204"/>
  </w:font>
  <w:font w:name="Noto Sans Devanagari">
    <w:panose1 w:val="020B0502040504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right"/>
      <w:pPr>
        <w:ind w:left="720" w:hanging="174"/>
        <w:tabs>
          <w:tab w:val="num" w:pos="720" w:leader="none"/>
        </w:tabs>
      </w:pPr>
      <w:rPr>
        <w:rFonts w:hint="default" w:ascii="Symbol" w:hAnsi="Symbol" w:eastAsia="Symbol" w:cs="Symbol"/>
      </w:rPr>
    </w:lvl>
    <w:lvl w:ilvl="1">
      <w:start w:val="1"/>
      <w:numFmt w:val="upperLetter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lowerLetter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lowerRoman"/>
      <w:isLgl w:val="false"/>
      <w:suff w:val="tab"/>
      <w:lvlText w:val="%5."/>
      <w:lvlJc w:val="right"/>
      <w:pPr>
        <w:ind w:left="2160" w:hanging="174"/>
        <w:tabs>
          <w:tab w:val="num" w:pos="2160" w:leader="none"/>
        </w:tabs>
      </w:pPr>
    </w:lvl>
    <w:lvl w:ilvl="5">
      <w:start w:val="1"/>
      <w:numFmt w:val="bullet"/>
      <w:isLgl w:val="false"/>
      <w:suff w:val="tab"/>
      <w:lvlText w:val=""/>
      <w:lvlJc w:val="left"/>
      <w:pPr>
        <w:ind w:left="2520" w:hanging="360"/>
        <w:tabs>
          <w:tab w:val="num" w:pos="2520" w:leader="none"/>
        </w:tabs>
      </w:pPr>
      <w:rPr>
        <w:rFonts w:hint="default" w:ascii="Symbol" w:hAnsi="Symbol" w:cs="Symbol"/>
      </w:rPr>
    </w:lvl>
    <w:lvl w:ilvl="6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hint="default" w:ascii="Symbol" w:hAnsi="Symbol" w:cs="Symbol"/>
      </w:rPr>
    </w:lvl>
    <w:lvl w:ilvl="8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 w:cs="Symbol"/>
      </w:rPr>
    </w:lvl>
  </w:abstractNum>
  <w:abstractNum w:abstractNumId="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f1115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f1115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f1115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f1115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f1115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f1115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f1115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f1115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f1115"/>
        <w:sz w:val="24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f1115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f1115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f1115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f1115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f1115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f1115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f1115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f1115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f1115"/>
        <w:sz w:val="24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f1115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f1115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f1115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f1115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f1115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f1115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f1115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f1115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f1115"/>
        <w:sz w:val="24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f1115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f1115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f1115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f1115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f1115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f1115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f1115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f1115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f1115"/>
        <w:sz w:val="24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f1115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f1115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f1115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f1115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f1115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f1115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f1115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f1115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f1115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f1115"/>
        <w:sz w:val="24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f1115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f1115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f1115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f1115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f1115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f1115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f1115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f1115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f1115"/>
        <w:sz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Tahoma" w:cs="Noto Sans Devanagar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686">
    <w:name w:val="No List"/>
    <w:uiPriority w:val="99"/>
    <w:semiHidden/>
    <w:unhideWhenUsed/>
  </w:style>
  <w:style w:type="table" w:styleId="687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7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8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9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0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2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3" w:default="1">
    <w:name w:val="Normal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paragraph" w:styleId="814">
    <w:name w:val="Heading 1"/>
    <w:basedOn w:val="813"/>
    <w:uiPriority w:val="99"/>
    <w:qFormat/>
    <w:pPr>
      <w:spacing w:beforeAutospacing="1" w:afterAutospacing="1"/>
      <w:outlineLvl w:val="0"/>
    </w:pPr>
    <w:rPr>
      <w:b/>
      <w:bCs/>
      <w:sz w:val="48"/>
      <w:szCs w:val="48"/>
    </w:rPr>
  </w:style>
  <w:style w:type="paragraph" w:styleId="815">
    <w:name w:val="Heading 2"/>
    <w:basedOn w:val="813"/>
    <w:semiHidden/>
    <w:unhideWhenUsed/>
    <w:qFormat/>
    <w:pPr>
      <w:keepLines/>
      <w:keepNext/>
      <w:spacing w:before="40" w:after="0"/>
      <w:outlineLvl w:val="1"/>
    </w:pPr>
    <w:rPr>
      <w:rFonts w:ascii="Cambria" w:hAnsi="Cambria" w:eastAsia="Arial" w:cs="Arial"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816">
    <w:name w:val="Heading 3"/>
    <w:basedOn w:val="813"/>
    <w:semiHidden/>
    <w:unhideWhenUsed/>
    <w:qFormat/>
    <w:pPr>
      <w:keepLines/>
      <w:keepNext/>
      <w:spacing w:before="40" w:after="0"/>
      <w:outlineLvl w:val="2"/>
    </w:pPr>
    <w:rPr>
      <w:rFonts w:ascii="Cambria" w:hAnsi="Cambria" w:eastAsia="Arial" w:cs="Arial" w:asciiTheme="majorHAnsi" w:hAnsiTheme="majorHAnsi" w:eastAsiaTheme="majorEastAsia" w:cstheme="majorBidi"/>
      <w:color w:val="243f60" w:themeColor="accent1" w:themeShade="7F"/>
    </w:rPr>
  </w:style>
  <w:style w:type="paragraph" w:styleId="817">
    <w:name w:val="Heading 4"/>
    <w:basedOn w:val="81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18">
    <w:name w:val="Heading 5"/>
    <w:basedOn w:val="81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19">
    <w:name w:val="Heading 6"/>
    <w:basedOn w:val="81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20">
    <w:name w:val="Heading 7"/>
    <w:basedOn w:val="81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21">
    <w:name w:val="Heading 8"/>
    <w:basedOn w:val="81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22">
    <w:name w:val="Heading 9"/>
    <w:basedOn w:val="81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23">
    <w:name w:val="Heading 1 Char"/>
    <w:basedOn w:val="845"/>
    <w:uiPriority w:val="9"/>
    <w:qFormat/>
    <w:rPr>
      <w:rFonts w:ascii="Arial" w:hAnsi="Arial" w:eastAsia="Arial" w:cs="Arial"/>
      <w:sz w:val="40"/>
      <w:szCs w:val="40"/>
    </w:rPr>
  </w:style>
  <w:style w:type="character" w:styleId="824">
    <w:name w:val="Heading 2 Char"/>
    <w:basedOn w:val="845"/>
    <w:uiPriority w:val="9"/>
    <w:qFormat/>
    <w:rPr>
      <w:rFonts w:ascii="Arial" w:hAnsi="Arial" w:eastAsia="Arial" w:cs="Arial"/>
      <w:sz w:val="34"/>
    </w:rPr>
  </w:style>
  <w:style w:type="character" w:styleId="825">
    <w:name w:val="Heading 3 Char"/>
    <w:basedOn w:val="845"/>
    <w:uiPriority w:val="9"/>
    <w:qFormat/>
    <w:rPr>
      <w:rFonts w:ascii="Arial" w:hAnsi="Arial" w:eastAsia="Arial" w:cs="Arial"/>
      <w:sz w:val="30"/>
      <w:szCs w:val="30"/>
    </w:rPr>
  </w:style>
  <w:style w:type="character" w:styleId="826">
    <w:name w:val="Heading 4 Char"/>
    <w:basedOn w:val="845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27">
    <w:name w:val="Heading 5 Char"/>
    <w:basedOn w:val="845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28">
    <w:name w:val="Heading 6 Char"/>
    <w:basedOn w:val="845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29">
    <w:name w:val="Heading 7 Char"/>
    <w:basedOn w:val="845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30">
    <w:name w:val="Heading 8 Char"/>
    <w:basedOn w:val="845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31">
    <w:name w:val="Heading 9 Char"/>
    <w:basedOn w:val="845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32">
    <w:name w:val="Title Char"/>
    <w:basedOn w:val="845"/>
    <w:uiPriority w:val="10"/>
    <w:qFormat/>
    <w:rPr>
      <w:sz w:val="48"/>
      <w:szCs w:val="48"/>
    </w:rPr>
  </w:style>
  <w:style w:type="character" w:styleId="833">
    <w:name w:val="Subtitle Char"/>
    <w:basedOn w:val="845"/>
    <w:uiPriority w:val="11"/>
    <w:qFormat/>
    <w:rPr>
      <w:sz w:val="24"/>
      <w:szCs w:val="24"/>
    </w:rPr>
  </w:style>
  <w:style w:type="character" w:styleId="834">
    <w:name w:val="Quote Char"/>
    <w:uiPriority w:val="29"/>
    <w:qFormat/>
    <w:rPr>
      <w:i/>
    </w:rPr>
  </w:style>
  <w:style w:type="character" w:styleId="835">
    <w:name w:val="Intense Quote Char"/>
    <w:uiPriority w:val="30"/>
    <w:qFormat/>
    <w:rPr>
      <w:i/>
    </w:rPr>
  </w:style>
  <w:style w:type="character" w:styleId="836">
    <w:name w:val="Header Char"/>
    <w:basedOn w:val="845"/>
    <w:uiPriority w:val="99"/>
    <w:qFormat/>
  </w:style>
  <w:style w:type="character" w:styleId="837">
    <w:name w:val="Footer Char"/>
    <w:basedOn w:val="845"/>
    <w:uiPriority w:val="99"/>
    <w:qFormat/>
  </w:style>
  <w:style w:type="character" w:styleId="838">
    <w:name w:val="Caption Char"/>
    <w:uiPriority w:val="99"/>
    <w:qFormat/>
  </w:style>
  <w:style w:type="character" w:styleId="839">
    <w:name w:val="Footnote Text Char"/>
    <w:uiPriority w:val="99"/>
    <w:qFormat/>
    <w:rPr>
      <w:sz w:val="18"/>
    </w:rPr>
  </w:style>
  <w:style w:type="character" w:styleId="840">
    <w:name w:val="Символ сноски"/>
    <w:uiPriority w:val="99"/>
    <w:unhideWhenUsed/>
    <w:qFormat/>
    <w:rPr>
      <w:vertAlign w:val="superscript"/>
    </w:rPr>
  </w:style>
  <w:style w:type="character" w:styleId="841">
    <w:name w:val="footnote reference"/>
    <w:rPr>
      <w:vertAlign w:val="superscript"/>
    </w:rPr>
  </w:style>
  <w:style w:type="character" w:styleId="842">
    <w:name w:val="Endnote Text Char"/>
    <w:uiPriority w:val="99"/>
    <w:qFormat/>
    <w:rPr>
      <w:sz w:val="20"/>
    </w:rPr>
  </w:style>
  <w:style w:type="character" w:styleId="843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844">
    <w:name w:val="endnote reference"/>
    <w:rPr>
      <w:vertAlign w:val="superscript"/>
    </w:rPr>
  </w:style>
  <w:style w:type="character" w:styleId="845" w:default="1">
    <w:name w:val="Default Paragraph Font"/>
    <w:uiPriority w:val="1"/>
    <w:semiHidden/>
    <w:unhideWhenUsed/>
    <w:qFormat/>
  </w:style>
  <w:style w:type="character" w:styleId="846" w:customStyle="1">
    <w:name w:val="Заголовок 1 Знак"/>
    <w:uiPriority w:val="99"/>
    <w:qFormat/>
    <w:rPr>
      <w:rFonts w:cs="Times New Roman"/>
      <w:b/>
      <w:bCs/>
      <w:sz w:val="48"/>
      <w:szCs w:val="48"/>
    </w:rPr>
  </w:style>
  <w:style w:type="character" w:styleId="847">
    <w:name w:val="Hyperlink"/>
    <w:uiPriority w:val="99"/>
    <w:rPr>
      <w:rFonts w:cs="Times New Roman"/>
      <w:color w:val="0000ff"/>
      <w:u w:val="single"/>
    </w:rPr>
  </w:style>
  <w:style w:type="character" w:styleId="848" w:customStyle="1">
    <w:name w:val="apple-tab-span"/>
    <w:uiPriority w:val="99"/>
    <w:qFormat/>
    <w:rPr>
      <w:rFonts w:cs="Times New Roman"/>
    </w:rPr>
  </w:style>
  <w:style w:type="character" w:styleId="849" w:customStyle="1">
    <w:name w:val="Текст выноски Знак"/>
    <w:uiPriority w:val="99"/>
    <w:qFormat/>
    <w:rPr>
      <w:rFonts w:ascii="Segoe UI" w:hAnsi="Segoe UI"/>
      <w:sz w:val="18"/>
    </w:rPr>
  </w:style>
  <w:style w:type="character" w:styleId="850">
    <w:name w:val="FollowedHyperlink"/>
    <w:basedOn w:val="845"/>
    <w:uiPriority w:val="99"/>
    <w:semiHidden/>
    <w:unhideWhenUsed/>
    <w:rPr>
      <w:color w:val="800080" w:themeColor="followedHyperlink"/>
      <w:u w:val="single"/>
    </w:rPr>
  </w:style>
  <w:style w:type="character" w:styleId="851" w:customStyle="1">
    <w:name w:val="Заголовок 2 Знак"/>
    <w:basedOn w:val="845"/>
    <w:semiHidden/>
    <w:qFormat/>
    <w:rPr>
      <w:rFonts w:ascii="Cambria" w:hAnsi="Cambria" w:eastAsia="Arial" w:cs="Arial" w:asciiTheme="majorHAnsi" w:hAnsiTheme="majorHAnsi" w:eastAsiaTheme="majorEastAsia" w:cstheme="majorBidi"/>
      <w:color w:val="365f91" w:themeColor="accent1" w:themeShade="BF"/>
      <w:sz w:val="26"/>
      <w:szCs w:val="26"/>
    </w:rPr>
  </w:style>
  <w:style w:type="character" w:styleId="852" w:customStyle="1">
    <w:name w:val="css-96zuhp-word-diff"/>
    <w:basedOn w:val="845"/>
    <w:qFormat/>
  </w:style>
  <w:style w:type="character" w:styleId="853" w:customStyle="1">
    <w:name w:val="Заголовок 3 Знак"/>
    <w:basedOn w:val="845"/>
    <w:semiHidden/>
    <w:qFormat/>
    <w:rPr>
      <w:rFonts w:ascii="Cambria" w:hAnsi="Cambria" w:eastAsia="Arial" w:cs="Arial" w:asciiTheme="majorHAnsi" w:hAnsiTheme="majorHAnsi" w:eastAsiaTheme="majorEastAsia" w:cstheme="majorBidi"/>
      <w:color w:val="243f60" w:themeColor="accent1" w:themeShade="7F"/>
      <w:sz w:val="24"/>
      <w:szCs w:val="24"/>
    </w:rPr>
  </w:style>
  <w:style w:type="character" w:styleId="854">
    <w:name w:val="Символ нумерации"/>
    <w:qFormat/>
  </w:style>
  <w:style w:type="character" w:styleId="855">
    <w:name w:val="Маркеры"/>
    <w:qFormat/>
    <w:rPr>
      <w:rFonts w:ascii="OpenSymbol" w:hAnsi="OpenSymbol" w:eastAsia="OpenSymbol" w:cs="OpenSymbol"/>
    </w:rPr>
  </w:style>
  <w:style w:type="paragraph" w:styleId="856">
    <w:name w:val="Заголовок"/>
    <w:basedOn w:val="813"/>
    <w:next w:val="857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857">
    <w:name w:val="Body Text"/>
    <w:basedOn w:val="813"/>
    <w:pPr>
      <w:spacing w:before="0" w:after="140" w:line="276" w:lineRule="auto"/>
    </w:pPr>
  </w:style>
  <w:style w:type="paragraph" w:styleId="858">
    <w:name w:val="List"/>
    <w:basedOn w:val="857"/>
    <w:rPr>
      <w:rFonts w:ascii="PT Astra Serif" w:hAnsi="PT Astra Serif" w:cs="Noto Sans Devanagari"/>
    </w:rPr>
  </w:style>
  <w:style w:type="paragraph" w:styleId="859">
    <w:name w:val="Caption"/>
    <w:basedOn w:val="813"/>
    <w:qFormat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60">
    <w:name w:val="Указатель"/>
    <w:basedOn w:val="813"/>
    <w:qFormat/>
    <w:pPr>
      <w:suppressLineNumbers/>
    </w:pPr>
    <w:rPr>
      <w:rFonts w:ascii="PT Astra Serif" w:hAnsi="PT Astra Serif" w:cs="Noto Sans Devanagari"/>
    </w:rPr>
  </w:style>
  <w:style w:type="paragraph" w:styleId="861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Tahoma" w:cs="Noto Sans Devanagari"/>
      <w:color w:val="auto"/>
      <w:sz w:val="20"/>
      <w:szCs w:val="20"/>
      <w:lang w:val="ru-RU" w:eastAsia="ru-RU" w:bidi="ar-SA"/>
    </w:rPr>
  </w:style>
  <w:style w:type="paragraph" w:styleId="862">
    <w:name w:val="Title"/>
    <w:basedOn w:val="813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63">
    <w:name w:val="Subtitle"/>
    <w:basedOn w:val="813"/>
    <w:uiPriority w:val="11"/>
    <w:qFormat/>
    <w:pPr>
      <w:spacing w:before="200" w:after="200"/>
    </w:pPr>
    <w:rPr>
      <w:sz w:val="24"/>
      <w:szCs w:val="24"/>
    </w:rPr>
  </w:style>
  <w:style w:type="paragraph" w:styleId="864">
    <w:name w:val="Quote"/>
    <w:basedOn w:val="813"/>
    <w:uiPriority w:val="29"/>
    <w:qFormat/>
    <w:pPr>
      <w:ind w:left="720" w:right="720"/>
    </w:pPr>
    <w:rPr>
      <w:i/>
    </w:rPr>
  </w:style>
  <w:style w:type="paragraph" w:styleId="865">
    <w:name w:val="Intense Quote"/>
    <w:basedOn w:val="813"/>
    <w:uiPriority w:val="30"/>
    <w:qFormat/>
    <w:pPr>
      <w:ind w:left="720" w:right="72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66">
    <w:name w:val="Header and Footer"/>
    <w:basedOn w:val="813"/>
    <w:qFormat/>
  </w:style>
  <w:style w:type="paragraph" w:styleId="867">
    <w:name w:val="Header"/>
    <w:basedOn w:val="813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68">
    <w:name w:val="Footer"/>
    <w:basedOn w:val="813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69">
    <w:name w:val="footnote text"/>
    <w:basedOn w:val="813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70">
    <w:name w:val="endnote text"/>
    <w:basedOn w:val="813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71">
    <w:name w:val="toc 1"/>
    <w:basedOn w:val="813"/>
    <w:uiPriority w:val="39"/>
    <w:unhideWhenUsed/>
    <w:pPr>
      <w:ind w:left="0" w:right="0" w:firstLine="0"/>
      <w:spacing w:before="0" w:after="57"/>
    </w:pPr>
  </w:style>
  <w:style w:type="paragraph" w:styleId="872">
    <w:name w:val="toc 2"/>
    <w:basedOn w:val="813"/>
    <w:uiPriority w:val="39"/>
    <w:unhideWhenUsed/>
    <w:pPr>
      <w:ind w:left="283" w:right="0" w:firstLine="0"/>
      <w:spacing w:before="0" w:after="57"/>
    </w:pPr>
  </w:style>
  <w:style w:type="paragraph" w:styleId="873">
    <w:name w:val="toc 3"/>
    <w:basedOn w:val="813"/>
    <w:uiPriority w:val="39"/>
    <w:unhideWhenUsed/>
    <w:pPr>
      <w:ind w:left="567" w:right="0" w:firstLine="0"/>
      <w:spacing w:before="0" w:after="57"/>
    </w:pPr>
  </w:style>
  <w:style w:type="paragraph" w:styleId="874">
    <w:name w:val="toc 4"/>
    <w:basedOn w:val="813"/>
    <w:uiPriority w:val="39"/>
    <w:unhideWhenUsed/>
    <w:pPr>
      <w:ind w:left="850" w:right="0" w:firstLine="0"/>
      <w:spacing w:before="0" w:after="57"/>
    </w:pPr>
  </w:style>
  <w:style w:type="paragraph" w:styleId="875">
    <w:name w:val="toc 5"/>
    <w:basedOn w:val="813"/>
    <w:uiPriority w:val="39"/>
    <w:unhideWhenUsed/>
    <w:pPr>
      <w:ind w:left="1134" w:right="0" w:firstLine="0"/>
      <w:spacing w:before="0" w:after="57"/>
    </w:pPr>
  </w:style>
  <w:style w:type="paragraph" w:styleId="876">
    <w:name w:val="toc 6"/>
    <w:basedOn w:val="813"/>
    <w:uiPriority w:val="39"/>
    <w:unhideWhenUsed/>
    <w:pPr>
      <w:ind w:left="1417" w:right="0" w:firstLine="0"/>
      <w:spacing w:before="0" w:after="57"/>
    </w:pPr>
  </w:style>
  <w:style w:type="paragraph" w:styleId="877">
    <w:name w:val="toc 7"/>
    <w:basedOn w:val="813"/>
    <w:uiPriority w:val="39"/>
    <w:unhideWhenUsed/>
    <w:pPr>
      <w:ind w:left="1701" w:right="0" w:firstLine="0"/>
      <w:spacing w:before="0" w:after="57"/>
    </w:pPr>
  </w:style>
  <w:style w:type="paragraph" w:styleId="878">
    <w:name w:val="toc 8"/>
    <w:basedOn w:val="813"/>
    <w:uiPriority w:val="39"/>
    <w:unhideWhenUsed/>
    <w:pPr>
      <w:ind w:left="1984" w:right="0" w:firstLine="0"/>
      <w:spacing w:before="0" w:after="57"/>
    </w:pPr>
  </w:style>
  <w:style w:type="paragraph" w:styleId="879">
    <w:name w:val="toc 9"/>
    <w:basedOn w:val="813"/>
    <w:uiPriority w:val="39"/>
    <w:unhideWhenUsed/>
    <w:pPr>
      <w:ind w:left="2268" w:right="0" w:firstLine="0"/>
      <w:spacing w:before="0" w:after="57"/>
    </w:pPr>
  </w:style>
  <w:style w:type="paragraph" w:styleId="880">
    <w:name w:val="index heading"/>
    <w:basedOn w:val="856"/>
  </w:style>
  <w:style w:type="paragraph" w:styleId="881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Tahoma" w:cs="Noto Sans Devanagari"/>
      <w:color w:val="auto"/>
      <w:sz w:val="20"/>
      <w:szCs w:val="20"/>
      <w:lang w:val="ru-RU" w:eastAsia="ru-RU" w:bidi="ar-SA"/>
    </w:rPr>
  </w:style>
  <w:style w:type="paragraph" w:styleId="882">
    <w:name w:val="table of figures"/>
    <w:basedOn w:val="813"/>
    <w:uiPriority w:val="99"/>
    <w:unhideWhenUsed/>
    <w:pPr>
      <w:spacing w:before="0" w:after="0" w:afterAutospacing="0"/>
    </w:pPr>
  </w:style>
  <w:style w:type="paragraph" w:styleId="883">
    <w:name w:val="Заголовок (user)"/>
    <w:basedOn w:val="813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884">
    <w:name w:val="Указатель (user)"/>
    <w:basedOn w:val="813"/>
    <w:qFormat/>
    <w:pPr>
      <w:suppressLineNumbers/>
    </w:pPr>
    <w:rPr>
      <w:rFonts w:ascii="PT Astra Serif" w:hAnsi="PT Astra Serif" w:cs="Noto Sans Devanagari"/>
    </w:rPr>
  </w:style>
  <w:style w:type="paragraph" w:styleId="885">
    <w:name w:val="Normal (Web)"/>
    <w:basedOn w:val="813"/>
    <w:uiPriority w:val="99"/>
    <w:qFormat/>
    <w:pPr>
      <w:spacing w:beforeAutospacing="1" w:afterAutospacing="1"/>
    </w:pPr>
  </w:style>
  <w:style w:type="paragraph" w:styleId="886">
    <w:name w:val="Balloon Text"/>
    <w:basedOn w:val="813"/>
    <w:uiPriority w:val="99"/>
    <w:qFormat/>
    <w:rPr>
      <w:rFonts w:ascii="Segoe UI" w:hAnsi="Segoe UI"/>
      <w:sz w:val="18"/>
      <w:szCs w:val="18"/>
    </w:rPr>
  </w:style>
  <w:style w:type="paragraph" w:styleId="887">
    <w:name w:val="List Paragraph"/>
    <w:basedOn w:val="813"/>
    <w:uiPriority w:val="99"/>
    <w:qFormat/>
    <w:pPr>
      <w:contextualSpacing/>
      <w:ind w:left="720" w:firstLine="0"/>
      <w:spacing w:before="0" w:after="0"/>
    </w:pPr>
  </w:style>
  <w:style w:type="numbering" w:styleId="888" w:default="1">
    <w:name w:val="Без списка"/>
    <w:uiPriority w:val="99"/>
    <w:semiHidden/>
    <w:unhideWhenUsed/>
    <w:qFormat/>
  </w:style>
  <w:style w:type="table" w:styleId="889" w:default="1">
    <w:name w:val="Normal Table"/>
    <w:uiPriority w:val="99"/>
    <w:semiHidden/>
    <w:unhideWhenUsed/>
    <w:tblPr/>
  </w:style>
  <w:style w:type="paragraph" w:styleId="890" w:customStyle="1">
    <w:name w:val="Table Paragraph"/>
    <w:basedOn w:val="693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Segoe UI" w:hAnsi="Segoe UI" w:eastAsia="Segoe UI" w:cs="Segoe U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table" w:styleId="891" w:customStyle="1">
    <w:name w:val="Table Normal"/>
    <w:uiPriority w:val="2"/>
    <w:semiHidden/>
    <w:unhideWhenUsed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top w:w="0" w:type="dxa"/>
        <w:right w:w="0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hyperlink" Target="https://rosreestr.gov.ru/upload/Doc/press/&#1043;&#1072;&#1088;&#1072;&#1078;&#1085;&#1072;&#1103;_&#1072;&#1084;&#1085;&#1080;&#1089;&#1090;&#1080;&#1103;_&#1085;&#1086;&#1074;&#1072;&#1103;_&#1084;&#1077;&#1090;&#1086;&#1076;&#1080;&#1095;&#1082;&#1072;.pdf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Р7-Офис/2024.3.2.584</Application>
  <Company>DSR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СМИ</dc:creator>
  <dc:description/>
  <dc:language>ru-RU</dc:language>
  <cp:revision>74</cp:revision>
  <dcterms:created xsi:type="dcterms:W3CDTF">2025-02-06T10:30:00Z</dcterms:created>
  <dcterms:modified xsi:type="dcterms:W3CDTF">2026-08-12T08:36:22Z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